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BF01B1">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BF01B1">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06941E5B" w:rsidR="00DB23ED" w:rsidRPr="00DB23ED" w:rsidRDefault="00AF105C" w:rsidP="00DB23ED">
      <w:pPr>
        <w:pStyle w:val="210"/>
        <w:ind w:firstLine="0"/>
        <w:rPr>
          <w:rFonts w:ascii="Times New Roman" w:hAnsi="Times New Roman"/>
          <w:sz w:val="28"/>
          <w:szCs w:val="28"/>
          <w:u w:val="single"/>
        </w:rPr>
      </w:pPr>
      <w:r>
        <w:rPr>
          <w:rFonts w:ascii="Times New Roman" w:hAnsi="Times New Roman"/>
          <w:sz w:val="28"/>
          <w:szCs w:val="28"/>
        </w:rPr>
        <w:t xml:space="preserve">Наименование дисциплины </w:t>
      </w:r>
      <w:r>
        <w:rPr>
          <w:rFonts w:ascii="Times New Roman" w:hAnsi="Times New Roman"/>
          <w:sz w:val="28"/>
          <w:szCs w:val="28"/>
          <w:u w:val="single"/>
        </w:rPr>
        <w:t>Международная миграция</w:t>
      </w:r>
      <w:r w:rsidR="00DB23ED">
        <w:rPr>
          <w:rFonts w:ascii="Times New Roman" w:hAnsi="Times New Roman"/>
          <w:sz w:val="28"/>
          <w:szCs w:val="28"/>
          <w:u w:val="single"/>
        </w:rPr>
        <w:t xml:space="preserve"> </w:t>
      </w:r>
      <w:r w:rsidR="00DB23ED"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667C8154" w14:textId="77777777" w:rsidR="00185C29" w:rsidRDefault="00185C29" w:rsidP="00DB23ED">
      <w:pPr>
        <w:spacing w:after="0"/>
        <w:jc w:val="center"/>
        <w:rPr>
          <w:rFonts w:ascii="Times New Roman" w:hAnsi="Times New Roman" w:cs="Times New Roman"/>
          <w:szCs w:val="28"/>
        </w:rPr>
      </w:pPr>
    </w:p>
    <w:p w14:paraId="517A5034" w14:textId="77777777" w:rsidR="00185C29" w:rsidRDefault="00185C29" w:rsidP="00FD4481">
      <w:pPr>
        <w:spacing w:after="0"/>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Ростов-на-Дону</w:t>
      </w:r>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2F90C86B"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BF01B1">
        <w:rPr>
          <w:rFonts w:ascii="Times New Roman" w:hAnsi="Times New Roman" w:cs="Times New Roman"/>
          <w:sz w:val="24"/>
          <w:szCs w:val="24"/>
        </w:rPr>
        <w:t>Международная миграция</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60658B62"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w:t>
      </w:r>
      <w:proofErr w:type="spellEnd"/>
      <w:r w:rsidRPr="00FD4481">
        <w:rPr>
          <w:sz w:val="24"/>
          <w:szCs w:val="24"/>
        </w:rPr>
        <w:t>-кантри,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5"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693A8CC9" w14:textId="77777777" w:rsidR="00BF01B1" w:rsidRDefault="00BF01B1" w:rsidP="00F6355D">
      <w:pPr>
        <w:spacing w:after="0"/>
        <w:jc w:val="center"/>
        <w:rPr>
          <w:rFonts w:ascii="Times New Roman" w:hAnsi="Times New Roman" w:cs="Times New Roman"/>
          <w:b/>
          <w:sz w:val="24"/>
          <w:szCs w:val="24"/>
        </w:rPr>
      </w:pPr>
    </w:p>
    <w:p w14:paraId="2B71599B" w14:textId="77777777" w:rsidR="00BF01B1" w:rsidRDefault="00BF01B1" w:rsidP="00F6355D">
      <w:pPr>
        <w:spacing w:after="0"/>
        <w:jc w:val="center"/>
        <w:rPr>
          <w:rFonts w:ascii="Times New Roman" w:hAnsi="Times New Roman" w:cs="Times New Roman"/>
          <w:b/>
          <w:sz w:val="24"/>
          <w:szCs w:val="24"/>
        </w:rPr>
      </w:pPr>
    </w:p>
    <w:p w14:paraId="5621E620" w14:textId="0637F2FC"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006A1BEB"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EE3288">
        <w:rPr>
          <w:rFonts w:ascii="Times New Roman" w:eastAsia="Calibri" w:hAnsi="Times New Roman" w:cs="Times New Roman"/>
          <w:b/>
          <w:sz w:val="24"/>
          <w:szCs w:val="24"/>
        </w:rPr>
        <w:t>Международная миграция</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21D1BB04" w14:textId="0B3959D2" w:rsidR="003C5B2F" w:rsidRPr="003C5B2F" w:rsidRDefault="00C74A2B"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 xml:space="preserve">Тенденции </w:t>
      </w:r>
      <w:r>
        <w:rPr>
          <w:rFonts w:ascii="Times New Roman" w:hAnsi="Times New Roman" w:cs="Times New Roman"/>
          <w:sz w:val="24"/>
          <w:szCs w:val="24"/>
        </w:rPr>
        <w:t>современной международной миграции</w:t>
      </w:r>
      <w:r w:rsidR="003C5B2F">
        <w:rPr>
          <w:rFonts w:ascii="Times New Roman" w:hAnsi="Times New Roman" w:cs="Times New Roman"/>
          <w:sz w:val="24"/>
          <w:szCs w:val="24"/>
        </w:rPr>
        <w:t>.</w:t>
      </w:r>
    </w:p>
    <w:p w14:paraId="2774C345" w14:textId="65F4F0E4" w:rsidR="00DB1FF7" w:rsidRPr="00C74A2B" w:rsidRDefault="00C74A2B" w:rsidP="00DB1FF7">
      <w:pPr>
        <w:numPr>
          <w:ilvl w:val="0"/>
          <w:numId w:val="27"/>
        </w:numPr>
        <w:spacing w:after="0" w:line="240" w:lineRule="auto"/>
        <w:jc w:val="both"/>
        <w:rPr>
          <w:rFonts w:ascii="Times New Roman" w:hAnsi="Times New Roman" w:cs="Times New Roman"/>
          <w:sz w:val="24"/>
          <w:szCs w:val="24"/>
        </w:rPr>
      </w:pPr>
      <w:r w:rsidRPr="00EE3288">
        <w:rPr>
          <w:rFonts w:ascii="Times New Roman" w:hAnsi="Times New Roman" w:cs="Times New Roman"/>
          <w:sz w:val="24"/>
          <w:szCs w:val="24"/>
        </w:rPr>
        <w:t>Международная миграция населения и демографическое развитие в России</w:t>
      </w:r>
      <w:r w:rsidR="00EE3288">
        <w:rPr>
          <w:rFonts w:ascii="Times New Roman" w:hAnsi="Times New Roman" w:cs="Times New Roman"/>
          <w:sz w:val="24"/>
          <w:szCs w:val="24"/>
        </w:rPr>
        <w:t>.</w:t>
      </w:r>
    </w:p>
    <w:p w14:paraId="33946512" w14:textId="064C1960" w:rsidR="00C74A2B" w:rsidRPr="00C74A2B" w:rsidRDefault="00C74A2B" w:rsidP="00DB1FF7">
      <w:pPr>
        <w:numPr>
          <w:ilvl w:val="0"/>
          <w:numId w:val="27"/>
        </w:numPr>
        <w:spacing w:after="0" w:line="240" w:lineRule="auto"/>
        <w:jc w:val="both"/>
        <w:rPr>
          <w:rFonts w:ascii="Times New Roman" w:hAnsi="Times New Roman" w:cs="Times New Roman"/>
          <w:sz w:val="24"/>
          <w:szCs w:val="24"/>
        </w:rPr>
      </w:pPr>
      <w:r w:rsidRPr="00EE3288">
        <w:rPr>
          <w:rFonts w:ascii="Times New Roman" w:hAnsi="Times New Roman" w:cs="Times New Roman"/>
          <w:sz w:val="24"/>
          <w:szCs w:val="24"/>
        </w:rPr>
        <w:t>Особенности миграционной политики стран Евросоюза</w:t>
      </w:r>
      <w:r w:rsidR="00EE3288">
        <w:rPr>
          <w:rFonts w:ascii="Times New Roman" w:hAnsi="Times New Roman" w:cs="Times New Roman"/>
          <w:sz w:val="24"/>
          <w:szCs w:val="24"/>
        </w:rPr>
        <w:t>.</w:t>
      </w:r>
    </w:p>
    <w:p w14:paraId="32D0556F" w14:textId="1A4BEA35" w:rsidR="00C74A2B" w:rsidRDefault="00EE3288" w:rsidP="00DB1FF7">
      <w:pPr>
        <w:numPr>
          <w:ilvl w:val="0"/>
          <w:numId w:val="27"/>
        </w:numPr>
        <w:spacing w:after="0" w:line="240" w:lineRule="auto"/>
        <w:jc w:val="both"/>
        <w:rPr>
          <w:rFonts w:ascii="Times New Roman" w:hAnsi="Times New Roman" w:cs="Times New Roman"/>
          <w:sz w:val="24"/>
          <w:szCs w:val="24"/>
        </w:rPr>
      </w:pPr>
      <w:r w:rsidRPr="00782D59">
        <w:rPr>
          <w:rFonts w:ascii="Times New Roman" w:hAnsi="Times New Roman" w:cs="Times New Roman"/>
          <w:sz w:val="24"/>
          <w:szCs w:val="24"/>
        </w:rPr>
        <w:t>Факторы, тенденции и характеристики</w:t>
      </w:r>
      <w:r w:rsidR="00782D59" w:rsidRPr="00782D59">
        <w:rPr>
          <w:rFonts w:ascii="Times New Roman" w:hAnsi="Times New Roman" w:cs="Times New Roman"/>
          <w:sz w:val="24"/>
          <w:szCs w:val="24"/>
        </w:rPr>
        <w:t xml:space="preserve"> современной</w:t>
      </w:r>
      <w:r w:rsidRPr="00782D59">
        <w:rPr>
          <w:rFonts w:ascii="Times New Roman" w:hAnsi="Times New Roman" w:cs="Times New Roman"/>
          <w:sz w:val="24"/>
          <w:szCs w:val="24"/>
        </w:rPr>
        <w:t xml:space="preserve"> международной трудовой миграции</w:t>
      </w:r>
    </w:p>
    <w:p w14:paraId="6D64B171" w14:textId="65B31B1D" w:rsidR="00782D59" w:rsidRDefault="004B02C1" w:rsidP="00DB1FF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Воздействие международной миграции на </w:t>
      </w:r>
      <w:r w:rsidRPr="004B02C1">
        <w:rPr>
          <w:rFonts w:ascii="Times New Roman" w:hAnsi="Times New Roman" w:cs="Times New Roman"/>
          <w:sz w:val="24"/>
          <w:szCs w:val="24"/>
        </w:rPr>
        <w:t>научно-техническое развитие, производительность труда, экономическую динамику государства.</w:t>
      </w:r>
    </w:p>
    <w:p w14:paraId="23241F1F" w14:textId="1C05DE43" w:rsidR="004B02C1" w:rsidRDefault="004B02C1" w:rsidP="00DB1FF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Специфические особенности регулирования миграционных процессов Государства Израиль.</w:t>
      </w:r>
    </w:p>
    <w:p w14:paraId="282C6EC2" w14:textId="778B79D1" w:rsidR="004B02C1" w:rsidRDefault="004B02C1" w:rsidP="00DB1FF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Российская интеллектуальная миграция в развитые страны.</w:t>
      </w:r>
    </w:p>
    <w:p w14:paraId="3CCD4195" w14:textId="047BEE41" w:rsidR="004B02C1" w:rsidRPr="004B02C1" w:rsidRDefault="004B02C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Международное законодательство в области глобального регулирования миграции.</w:t>
      </w:r>
    </w:p>
    <w:p w14:paraId="216FD602" w14:textId="695CA8F2" w:rsidR="004B02C1" w:rsidRPr="004B02C1" w:rsidRDefault="004B02C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Движущие силы международной миграции населения.</w:t>
      </w:r>
    </w:p>
    <w:p w14:paraId="22CA3AE3" w14:textId="272F9027" w:rsidR="004B02C1" w:rsidRPr="004B02C1" w:rsidRDefault="004B02C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Роль глобального Юга в миграционных процессах.</w:t>
      </w:r>
    </w:p>
    <w:p w14:paraId="66B9E0F6" w14:textId="3D6CCB7C" w:rsidR="004B02C1" w:rsidRPr="004B0945" w:rsidRDefault="004B02C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Феномен циркуляционной миграции. Специфика международной трудовой миграции в России.</w:t>
      </w:r>
    </w:p>
    <w:p w14:paraId="11C73C0D" w14:textId="4576EE8F" w:rsidR="004B0945" w:rsidRPr="004B0945" w:rsidRDefault="004B0945"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Параметры и векторы влияния международной миграции на принимающие государства.</w:t>
      </w:r>
    </w:p>
    <w:p w14:paraId="01ED3C7A" w14:textId="68444589" w:rsidR="004B0945" w:rsidRPr="004B0945" w:rsidRDefault="004B0945"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Национальная политика отдающих и принимающих государств в сфере международной миграции</w:t>
      </w:r>
      <w:r w:rsidR="00083CC1">
        <w:rPr>
          <w:rFonts w:ascii="Times New Roman" w:hAnsi="Times New Roman" w:cs="Times New Roman"/>
          <w:sz w:val="24"/>
          <w:szCs w:val="24"/>
        </w:rPr>
        <w:t>.</w:t>
      </w:r>
    </w:p>
    <w:p w14:paraId="7EAAB40B" w14:textId="63C0932F" w:rsidR="004B0945"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Новые черты международной трудовой миграции в XXI веке.</w:t>
      </w:r>
    </w:p>
    <w:p w14:paraId="6DDB5D72" w14:textId="1AEF8C6C"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Основные сценарии будущего развития международной миграции.</w:t>
      </w:r>
    </w:p>
    <w:p w14:paraId="72EAB8DD" w14:textId="7947C3D7"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Текущие тенденции и динамика международной миграции в мире</w:t>
      </w:r>
      <w:r w:rsidR="00083CC1">
        <w:rPr>
          <w:rFonts w:ascii="Times New Roman" w:hAnsi="Times New Roman" w:cs="Times New Roman"/>
          <w:sz w:val="24"/>
          <w:szCs w:val="24"/>
        </w:rPr>
        <w:t>.</w:t>
      </w:r>
    </w:p>
    <w:p w14:paraId="2847CFAE" w14:textId="22322D12"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 xml:space="preserve">Экономические последствия миграции: влияние на страны отправителя и страны </w:t>
      </w:r>
      <w:proofErr w:type="spellStart"/>
      <w:r w:rsidRPr="00450361">
        <w:rPr>
          <w:rFonts w:ascii="Times New Roman" w:hAnsi="Times New Roman" w:cs="Times New Roman"/>
          <w:sz w:val="24"/>
          <w:szCs w:val="24"/>
        </w:rPr>
        <w:t>приемницы</w:t>
      </w:r>
      <w:proofErr w:type="spellEnd"/>
      <w:r w:rsidRPr="00450361">
        <w:rPr>
          <w:rFonts w:ascii="Times New Roman" w:hAnsi="Times New Roman" w:cs="Times New Roman"/>
          <w:sz w:val="24"/>
          <w:szCs w:val="24"/>
        </w:rPr>
        <w:t>.</w:t>
      </w:r>
    </w:p>
    <w:p w14:paraId="79F7C335" w14:textId="68DE3919"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Социальная интеграция мигрантов: вызовы и успехи</w:t>
      </w:r>
      <w:r w:rsidR="00083CC1">
        <w:rPr>
          <w:rFonts w:ascii="Times New Roman" w:hAnsi="Times New Roman" w:cs="Times New Roman"/>
          <w:sz w:val="24"/>
          <w:szCs w:val="24"/>
        </w:rPr>
        <w:t>.</w:t>
      </w:r>
    </w:p>
    <w:p w14:paraId="730D9F32" w14:textId="40B337B8"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Беженцы и международная защита: роль международных организаций и правовые аспекты</w:t>
      </w:r>
      <w:r w:rsidR="00083CC1">
        <w:rPr>
          <w:rFonts w:ascii="Times New Roman" w:hAnsi="Times New Roman" w:cs="Times New Roman"/>
          <w:sz w:val="24"/>
          <w:szCs w:val="24"/>
        </w:rPr>
        <w:t>.</w:t>
      </w:r>
    </w:p>
    <w:p w14:paraId="39702476" w14:textId="751E5DFA"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Эффекты миграции на культурное разнообразие и социокультурную динамику</w:t>
      </w:r>
      <w:r w:rsidR="00083CC1">
        <w:rPr>
          <w:rFonts w:ascii="Times New Roman" w:hAnsi="Times New Roman" w:cs="Times New Roman"/>
          <w:sz w:val="24"/>
          <w:szCs w:val="24"/>
        </w:rPr>
        <w:t>.</w:t>
      </w:r>
    </w:p>
    <w:p w14:paraId="0E903BFB" w14:textId="31F0DE51"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Иллюзии и реальность: мифы о мигрантах и их влиянии на общественное мнение</w:t>
      </w:r>
      <w:r w:rsidR="00083CC1">
        <w:rPr>
          <w:rFonts w:ascii="Times New Roman" w:hAnsi="Times New Roman" w:cs="Times New Roman"/>
          <w:sz w:val="24"/>
          <w:szCs w:val="24"/>
        </w:rPr>
        <w:t>.</w:t>
      </w:r>
    </w:p>
    <w:p w14:paraId="03AE9D64" w14:textId="1A37002B"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Миграция и здравоохранение: вызовы и возможности в условиях активной международной мобильности населения.</w:t>
      </w:r>
    </w:p>
    <w:p w14:paraId="4B0E2805" w14:textId="3F8A047D"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Управление миграцией и политика в странах приемников: лучшие практики и вызовы</w:t>
      </w:r>
      <w:r w:rsidR="00083CC1">
        <w:rPr>
          <w:rFonts w:ascii="Times New Roman" w:hAnsi="Times New Roman" w:cs="Times New Roman"/>
          <w:sz w:val="24"/>
          <w:szCs w:val="24"/>
        </w:rPr>
        <w:t>.</w:t>
      </w:r>
    </w:p>
    <w:p w14:paraId="09AC92C4" w14:textId="4AAA8EF6"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Миграция и международная политика: влияние миграционных потоков на международные отношения</w:t>
      </w:r>
      <w:r w:rsidR="00083CC1">
        <w:rPr>
          <w:rFonts w:ascii="Times New Roman" w:hAnsi="Times New Roman" w:cs="Times New Roman"/>
          <w:sz w:val="24"/>
          <w:szCs w:val="24"/>
        </w:rPr>
        <w:t>.</w:t>
      </w:r>
    </w:p>
    <w:p w14:paraId="560C8C31" w14:textId="677FF622" w:rsidR="008C5642" w:rsidRPr="00EA336D" w:rsidRDefault="00EA336D"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Социальная интеграция мигрантов: лучшие практики и вызовы.</w:t>
      </w:r>
    </w:p>
    <w:p w14:paraId="331259B5" w14:textId="481F7CCA" w:rsidR="00EA336D" w:rsidRPr="00EA336D" w:rsidRDefault="00EA336D"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Международная миграция и демографические изменения: влияние на структуру населения в разных странах</w:t>
      </w:r>
      <w:r w:rsidR="00083CC1">
        <w:rPr>
          <w:rFonts w:ascii="Times New Roman" w:hAnsi="Times New Roman" w:cs="Times New Roman"/>
          <w:sz w:val="24"/>
          <w:szCs w:val="24"/>
        </w:rPr>
        <w:t>.</w:t>
      </w:r>
    </w:p>
    <w:p w14:paraId="56325070" w14:textId="54874847" w:rsidR="00EA336D" w:rsidRPr="00EA336D" w:rsidRDefault="00EA336D"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Транснациональные сообщества и диаспоры: роль мигрантов в развитии принимающих стран.</w:t>
      </w:r>
    </w:p>
    <w:p w14:paraId="64ECB24B" w14:textId="4C82E35C" w:rsidR="00EA336D" w:rsidRPr="00450361" w:rsidRDefault="00EA336D"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 xml:space="preserve"> Интеллектуальная миграция: как удержать высококвалифицированных специалистов в своей стране.</w:t>
      </w:r>
    </w:p>
    <w:p w14:paraId="54592486" w14:textId="2B847618" w:rsidR="00450361" w:rsidRPr="00450361" w:rsidRDefault="0045036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Демографические аспекты международной миграции: влияние на структуру населения и популяционные тенденции</w:t>
      </w:r>
      <w:r w:rsidR="00083CC1">
        <w:rPr>
          <w:rFonts w:ascii="Times New Roman" w:hAnsi="Times New Roman" w:cs="Times New Roman"/>
          <w:sz w:val="24"/>
          <w:szCs w:val="24"/>
        </w:rPr>
        <w:t>.</w:t>
      </w:r>
    </w:p>
    <w:p w14:paraId="33991234" w14:textId="74C635FD" w:rsidR="00450361" w:rsidRPr="00DB1FF7" w:rsidRDefault="0045036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Трафик и незаконная миграция: проблемы, вызовы и пути борьбы.</w:t>
      </w:r>
    </w:p>
    <w:p w14:paraId="357C3C1E" w14:textId="77777777"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421"/>
        <w:gridCol w:w="166"/>
        <w:gridCol w:w="2099"/>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r w:rsidRPr="00291A5C">
        <w:rPr>
          <w:rFonts w:ascii="Times New Roman" w:hAnsi="Times New Roman" w:cs="Times New Roman"/>
        </w:rPr>
        <w:t>Ростов-на-Дону</w:t>
      </w:r>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0283B" w14:textId="77777777" w:rsidR="001A2344" w:rsidRDefault="001A2344" w:rsidP="00345100">
      <w:pPr>
        <w:spacing w:after="0" w:line="240" w:lineRule="auto"/>
      </w:pPr>
      <w:r>
        <w:separator/>
      </w:r>
    </w:p>
  </w:endnote>
  <w:endnote w:type="continuationSeparator" w:id="0">
    <w:p w14:paraId="529D4548" w14:textId="77777777" w:rsidR="001A2344" w:rsidRDefault="001A2344"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NewRoman">
    <w:altName w:val="MS Mincho"/>
    <w:panose1 w:val="020B0604020202020204"/>
    <w:charset w:val="80"/>
    <w:family w:val="auto"/>
    <w:notTrueType/>
    <w:pitch w:val="default"/>
    <w:sig w:usb0="00000000" w:usb1="08070000" w:usb2="00000010" w:usb3="00000000" w:csb0="00020005"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0"/>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BD1E4" w14:textId="77777777" w:rsidR="00F6355D" w:rsidRDefault="00F6355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F6355D" w:rsidRDefault="00F6355D"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F19F2" w14:textId="77777777" w:rsidR="001A2344" w:rsidRDefault="001A2344" w:rsidP="00345100">
      <w:pPr>
        <w:spacing w:after="0" w:line="240" w:lineRule="auto"/>
      </w:pPr>
      <w:r>
        <w:separator/>
      </w:r>
    </w:p>
  </w:footnote>
  <w:footnote w:type="continuationSeparator" w:id="0">
    <w:p w14:paraId="10BA77D3" w14:textId="77777777" w:rsidR="001A2344" w:rsidRDefault="001A2344" w:rsidP="00345100">
      <w:pPr>
        <w:spacing w:after="0" w:line="240" w:lineRule="auto"/>
      </w:pPr>
      <w:r>
        <w:continuationSeparator/>
      </w:r>
    </w:p>
  </w:footnote>
  <w:footnote w:id="1">
    <w:p w14:paraId="69964CCE" w14:textId="77777777" w:rsidR="00F6355D" w:rsidRPr="00577306" w:rsidRDefault="00F6355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w:t>
      </w:r>
      <w:proofErr w:type="spellStart"/>
      <w:r w:rsidRPr="00577306">
        <w:rPr>
          <w:rFonts w:ascii="Times New Roman" w:hAnsi="Times New Roman"/>
        </w:rPr>
        <w:t>внутрис</w:t>
      </w:r>
      <w:r>
        <w:rPr>
          <w:rFonts w:ascii="Times New Roman" w:hAnsi="Times New Roman"/>
        </w:rPr>
        <w:t>т</w:t>
      </w:r>
      <w:r w:rsidRPr="00577306">
        <w:rPr>
          <w:rFonts w:ascii="Times New Roman" w:hAnsi="Times New Roman"/>
        </w:rPr>
        <w:t>раничных</w:t>
      </w:r>
      <w:proofErr w:type="spellEnd"/>
      <w:r w:rsidRPr="00577306">
        <w:rPr>
          <w:rFonts w:ascii="Times New Roman" w:hAnsi="Times New Roman"/>
        </w:rPr>
        <w:t xml:space="preserve">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A55A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F6355D" w:rsidRDefault="00F6355D"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139CE" w14:textId="137E0528"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083CC1">
      <w:rPr>
        <w:rStyle w:val="af4"/>
        <w:noProof/>
      </w:rPr>
      <w:t>9</w:t>
    </w:r>
    <w:r>
      <w:rPr>
        <w:rStyle w:val="af4"/>
      </w:rPr>
      <w:fldChar w:fldCharType="end"/>
    </w:r>
  </w:p>
  <w:p w14:paraId="4F4EE703" w14:textId="77777777" w:rsidR="00F6355D" w:rsidRDefault="00F6355D"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1"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2"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5"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0"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5"/>
  </w:num>
  <w:num w:numId="2">
    <w:abstractNumId w:val="0"/>
  </w:num>
  <w:num w:numId="3">
    <w:abstractNumId w:val="1"/>
  </w:num>
  <w:num w:numId="4">
    <w:abstractNumId w:val="14"/>
  </w:num>
  <w:num w:numId="5">
    <w:abstractNumId w:val="23"/>
  </w:num>
  <w:num w:numId="6">
    <w:abstractNumId w:val="22"/>
  </w:num>
  <w:num w:numId="7">
    <w:abstractNumId w:val="4"/>
  </w:num>
  <w:num w:numId="8">
    <w:abstractNumId w:val="26"/>
  </w:num>
  <w:num w:numId="9">
    <w:abstractNumId w:val="5"/>
  </w:num>
  <w:num w:numId="10">
    <w:abstractNumId w:val="2"/>
  </w:num>
  <w:num w:numId="11">
    <w:abstractNumId w:val="18"/>
  </w:num>
  <w:num w:numId="12">
    <w:abstractNumId w:val="24"/>
  </w:num>
  <w:num w:numId="13">
    <w:abstractNumId w:val="8"/>
  </w:num>
  <w:num w:numId="14">
    <w:abstractNumId w:val="21"/>
  </w:num>
  <w:num w:numId="15">
    <w:abstractNumId w:val="16"/>
  </w:num>
  <w:num w:numId="16">
    <w:abstractNumId w:val="10"/>
  </w:num>
  <w:num w:numId="17">
    <w:abstractNumId w:val="9"/>
  </w:num>
  <w:num w:numId="18">
    <w:abstractNumId w:val="15"/>
  </w:num>
  <w:num w:numId="19">
    <w:abstractNumId w:val="20"/>
  </w:num>
  <w:num w:numId="20">
    <w:abstractNumId w:val="7"/>
  </w:num>
  <w:num w:numId="21">
    <w:abstractNumId w:val="11"/>
  </w:num>
  <w:num w:numId="22">
    <w:abstractNumId w:val="12"/>
  </w:num>
  <w:num w:numId="23">
    <w:abstractNumId w:val="13"/>
  </w:num>
  <w:num w:numId="24">
    <w:abstractNumId w:val="17"/>
  </w:num>
  <w:num w:numId="25">
    <w:abstractNumId w:val="3"/>
  </w:num>
  <w:num w:numId="26">
    <w:abstractNumId w:val="6"/>
  </w:num>
  <w:num w:numId="27">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E95"/>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83CC1"/>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344"/>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33604"/>
    <w:rsid w:val="00334A5B"/>
    <w:rsid w:val="00345100"/>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50361"/>
    <w:rsid w:val="004652A2"/>
    <w:rsid w:val="00470FEA"/>
    <w:rsid w:val="00474E5A"/>
    <w:rsid w:val="00476A3F"/>
    <w:rsid w:val="00484693"/>
    <w:rsid w:val="00487A43"/>
    <w:rsid w:val="00490A4B"/>
    <w:rsid w:val="004A5488"/>
    <w:rsid w:val="004B02C1"/>
    <w:rsid w:val="004B0945"/>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A001B"/>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2E73"/>
    <w:rsid w:val="00635895"/>
    <w:rsid w:val="00654E87"/>
    <w:rsid w:val="00677E7C"/>
    <w:rsid w:val="00680C77"/>
    <w:rsid w:val="00687BF0"/>
    <w:rsid w:val="00693809"/>
    <w:rsid w:val="00694BBF"/>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40440"/>
    <w:rsid w:val="007718A5"/>
    <w:rsid w:val="00771A0F"/>
    <w:rsid w:val="007739B4"/>
    <w:rsid w:val="00782D59"/>
    <w:rsid w:val="0079258C"/>
    <w:rsid w:val="00796285"/>
    <w:rsid w:val="007A0B98"/>
    <w:rsid w:val="007A324D"/>
    <w:rsid w:val="007A35F2"/>
    <w:rsid w:val="007A5A0F"/>
    <w:rsid w:val="007C227C"/>
    <w:rsid w:val="007C3296"/>
    <w:rsid w:val="007D3A31"/>
    <w:rsid w:val="007D4E64"/>
    <w:rsid w:val="007E1654"/>
    <w:rsid w:val="00804DC8"/>
    <w:rsid w:val="0080676D"/>
    <w:rsid w:val="008143A0"/>
    <w:rsid w:val="00821BA1"/>
    <w:rsid w:val="008322ED"/>
    <w:rsid w:val="008323FF"/>
    <w:rsid w:val="00834258"/>
    <w:rsid w:val="008368AC"/>
    <w:rsid w:val="00846AF9"/>
    <w:rsid w:val="00850ACB"/>
    <w:rsid w:val="00877BCA"/>
    <w:rsid w:val="008832B0"/>
    <w:rsid w:val="0088398F"/>
    <w:rsid w:val="008901AB"/>
    <w:rsid w:val="00896BC2"/>
    <w:rsid w:val="008A1BE9"/>
    <w:rsid w:val="008A60F2"/>
    <w:rsid w:val="008B04F0"/>
    <w:rsid w:val="008B0B42"/>
    <w:rsid w:val="008C5642"/>
    <w:rsid w:val="008D1701"/>
    <w:rsid w:val="008E4AB3"/>
    <w:rsid w:val="008E713D"/>
    <w:rsid w:val="008E7B41"/>
    <w:rsid w:val="008F0956"/>
    <w:rsid w:val="008F307C"/>
    <w:rsid w:val="008F73E0"/>
    <w:rsid w:val="00906236"/>
    <w:rsid w:val="00913E83"/>
    <w:rsid w:val="00920D98"/>
    <w:rsid w:val="00921B23"/>
    <w:rsid w:val="0093025D"/>
    <w:rsid w:val="009378D9"/>
    <w:rsid w:val="0094694D"/>
    <w:rsid w:val="0094757E"/>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E060E"/>
    <w:rsid w:val="00AF105C"/>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01B1"/>
    <w:rsid w:val="00BF1AF0"/>
    <w:rsid w:val="00BF66A7"/>
    <w:rsid w:val="00C074C4"/>
    <w:rsid w:val="00C0771D"/>
    <w:rsid w:val="00C24BE0"/>
    <w:rsid w:val="00C31B6A"/>
    <w:rsid w:val="00C63D40"/>
    <w:rsid w:val="00C63E9C"/>
    <w:rsid w:val="00C73FA2"/>
    <w:rsid w:val="00C74A2B"/>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58BA"/>
    <w:rsid w:val="00DB1FF7"/>
    <w:rsid w:val="00DB23ED"/>
    <w:rsid w:val="00DC74F3"/>
    <w:rsid w:val="00DD08CC"/>
    <w:rsid w:val="00DD1FA2"/>
    <w:rsid w:val="00DD2B3A"/>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7B93"/>
    <w:rsid w:val="00EA336D"/>
    <w:rsid w:val="00EB284D"/>
    <w:rsid w:val="00EC29D9"/>
    <w:rsid w:val="00EE3288"/>
    <w:rsid w:val="00EE6774"/>
    <w:rsid w:val="00EF4F03"/>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DBD7759C-617C-495F-9656-1C17F421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D56DB-5028-C34C-9BCD-493E4BB2B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3279</Words>
  <Characters>18694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Microsoft Office User</cp:lastModifiedBy>
  <cp:revision>2</cp:revision>
  <dcterms:created xsi:type="dcterms:W3CDTF">2023-09-24T18:27:00Z</dcterms:created>
  <dcterms:modified xsi:type="dcterms:W3CDTF">2023-09-24T18:27:00Z</dcterms:modified>
</cp:coreProperties>
</file>